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CB" w:rsidRPr="001A38CB" w:rsidRDefault="001A38CB" w:rsidP="001A38CB">
      <w:pPr>
        <w:jc w:val="both"/>
        <w:rPr>
          <w:lang w:eastAsia="ru-RU"/>
        </w:rPr>
      </w:pPr>
      <w:proofErr w:type="spellStart"/>
      <w:r w:rsidRPr="001A38CB">
        <w:rPr>
          <w:lang w:eastAsia="ru-RU"/>
        </w:rPr>
        <w:t>ехническое</w:t>
      </w:r>
      <w:proofErr w:type="spellEnd"/>
      <w:r w:rsidRPr="001A38CB">
        <w:rPr>
          <w:lang w:eastAsia="ru-RU"/>
        </w:rPr>
        <w:t xml:space="preserve"> обслуживание (ТО) автомобиля </w:t>
      </w:r>
      <w:proofErr w:type="spellStart"/>
      <w:r w:rsidRPr="001A38CB">
        <w:rPr>
          <w:lang w:eastAsia="ru-RU"/>
        </w:rPr>
        <w:t>Hyundai</w:t>
      </w:r>
      <w:proofErr w:type="spellEnd"/>
      <w:r w:rsidRPr="001A38CB">
        <w:rPr>
          <w:lang w:eastAsia="ru-RU"/>
        </w:rPr>
        <w:t xml:space="preserve"> </w:t>
      </w:r>
      <w:proofErr w:type="spellStart"/>
      <w:r w:rsidRPr="001A38CB">
        <w:rPr>
          <w:lang w:eastAsia="ru-RU"/>
        </w:rPr>
        <w:t>Solaris</w:t>
      </w:r>
      <w:proofErr w:type="spellEnd"/>
      <w:r w:rsidRPr="001A38CB">
        <w:rPr>
          <w:lang w:eastAsia="ru-RU"/>
        </w:rPr>
        <w:t xml:space="preserve"> необходимо проводить в соответствии с регламентом, приведенным ниже.</w:t>
      </w:r>
    </w:p>
    <w:p w:rsidR="001A38CB" w:rsidRPr="001A38CB" w:rsidRDefault="001A38CB" w:rsidP="001A38CB">
      <w:pPr>
        <w:jc w:val="both"/>
        <w:rPr>
          <w:lang w:eastAsia="ru-RU"/>
        </w:rPr>
      </w:pPr>
      <w:r w:rsidRPr="001A38CB">
        <w:rPr>
          <w:lang w:eastAsia="ru-RU"/>
        </w:rPr>
        <w:t xml:space="preserve">Периодическое ТО автомобиля должно проводиться только Авторизованными Сервисными Партнёрами </w:t>
      </w:r>
      <w:proofErr w:type="spellStart"/>
      <w:r w:rsidRPr="001A38CB">
        <w:rPr>
          <w:lang w:eastAsia="ru-RU"/>
        </w:rPr>
        <w:t>Hyundai</w:t>
      </w:r>
      <w:proofErr w:type="spellEnd"/>
      <w:r w:rsidRPr="001A38CB">
        <w:rPr>
          <w:lang w:eastAsia="ru-RU"/>
        </w:rPr>
        <w:t xml:space="preserve"> (Официальными Дилерами). Не существует никаких ограничений на выбор дилера - </w:t>
      </w:r>
      <w:proofErr w:type="gramStart"/>
      <w:r w:rsidRPr="001A38CB">
        <w:rPr>
          <w:lang w:eastAsia="ru-RU"/>
        </w:rPr>
        <w:t>разные</w:t>
      </w:r>
      <w:proofErr w:type="gramEnd"/>
      <w:r w:rsidRPr="001A38CB">
        <w:rPr>
          <w:lang w:eastAsia="ru-RU"/>
        </w:rPr>
        <w:t xml:space="preserve"> ТО (на разных пробегах или сроках) могут проводиться у разных официальных дилеров в любых городах России. Таким образом, место проведения ТО никак не связано с местом покупки автомобиля. </w:t>
      </w:r>
      <w:proofErr w:type="spellStart"/>
      <w:r w:rsidRPr="001A38CB">
        <w:rPr>
          <w:lang w:eastAsia="ru-RU"/>
        </w:rPr>
        <w:t>Hyundai</w:t>
      </w:r>
      <w:proofErr w:type="spellEnd"/>
      <w:r w:rsidRPr="001A38CB">
        <w:rPr>
          <w:lang w:eastAsia="ru-RU"/>
        </w:rPr>
        <w:t xml:space="preserve"> </w:t>
      </w:r>
      <w:proofErr w:type="spellStart"/>
      <w:r w:rsidRPr="001A38CB">
        <w:rPr>
          <w:lang w:eastAsia="ru-RU"/>
        </w:rPr>
        <w:t>Solaris</w:t>
      </w:r>
      <w:proofErr w:type="spellEnd"/>
      <w:r w:rsidRPr="001A38CB">
        <w:rPr>
          <w:lang w:eastAsia="ru-RU"/>
        </w:rPr>
        <w:t xml:space="preserve"> можно приобрести у одного официального дилера, а обслуживать у любого другого (или у любых других).</w:t>
      </w:r>
    </w:p>
    <w:p w:rsidR="001A38CB" w:rsidRPr="001A38CB" w:rsidRDefault="001A38CB" w:rsidP="001A38CB">
      <w:pPr>
        <w:jc w:val="both"/>
        <w:rPr>
          <w:lang w:eastAsia="ru-RU"/>
        </w:rPr>
      </w:pPr>
      <w:r w:rsidRPr="001A38CB">
        <w:rPr>
          <w:lang w:eastAsia="ru-RU"/>
        </w:rPr>
        <w:t>Существует два способа определения даты очередного ТО - "по пробегу" и "по времени". Дата и время прохождения очередного ТО определяется либо по пробегу - через 15000 км, либо по времени - через 1 год с момента прохождения предыдущего ТО, в зависимости от того, что наступает раньше. Например, если пробег за год составляет 30000 км, то за год нужно будет пройти два ТО - при пробегах в 15000 км и 30000 км. А если пробег в год составляет 10 тысяч км, то следующее ТО необходимо пройти ровно через год после предыдущего, вне зависимости от пробега.</w:t>
      </w:r>
    </w:p>
    <w:p w:rsidR="001A38CB" w:rsidRPr="001A38CB" w:rsidRDefault="001A38CB" w:rsidP="001A38CB">
      <w:pPr>
        <w:jc w:val="both"/>
        <w:rPr>
          <w:lang w:eastAsia="ru-RU"/>
        </w:rPr>
      </w:pPr>
      <w:r w:rsidRPr="001A38CB">
        <w:rPr>
          <w:lang w:eastAsia="ru-RU"/>
        </w:rPr>
        <w:t>Допускается свободное чередование ТО по пробегу и по времени, в зависимости от того, что наступает раньше. Максимальное отклонение от установленных интервалов ТО не должно превышать 1000 км или 1 мес.</w:t>
      </w:r>
    </w:p>
    <w:p w:rsidR="001A38CB" w:rsidRPr="001A38CB" w:rsidRDefault="001A38CB" w:rsidP="001A38CB">
      <w:pPr>
        <w:jc w:val="both"/>
        <w:rPr>
          <w:lang w:eastAsia="ru-RU"/>
        </w:rPr>
      </w:pPr>
      <w:r w:rsidRPr="001A38CB">
        <w:rPr>
          <w:lang w:eastAsia="ru-RU"/>
        </w:rPr>
        <w:t xml:space="preserve">ТО является обязательным для всех автомобилей </w:t>
      </w:r>
      <w:proofErr w:type="spellStart"/>
      <w:r w:rsidRPr="001A38CB">
        <w:rPr>
          <w:lang w:eastAsia="ru-RU"/>
        </w:rPr>
        <w:t>Hyundai</w:t>
      </w:r>
      <w:proofErr w:type="spellEnd"/>
      <w:r w:rsidRPr="001A38CB">
        <w:rPr>
          <w:lang w:eastAsia="ru-RU"/>
        </w:rPr>
        <w:t xml:space="preserve"> во время действия срока гарантии. Невыполнение ТО у официальных дилеров или нарушение сроков проведения плановых ТО может явиться причиной отказа в проведении ремонта по гарантии, проще говоря - не проходите ТО у официальных дилеров - лишаетесь гарантии.</w:t>
      </w:r>
    </w:p>
    <w:p w:rsidR="001A38CB" w:rsidRPr="001A38CB" w:rsidRDefault="001A38CB" w:rsidP="001A38CB">
      <w:pPr>
        <w:jc w:val="both"/>
        <w:rPr>
          <w:lang w:eastAsia="ru-RU"/>
        </w:rPr>
      </w:pPr>
      <w:r w:rsidRPr="001A38CB">
        <w:rPr>
          <w:lang w:eastAsia="ru-RU"/>
        </w:rPr>
        <w:t xml:space="preserve">Кроме прохождения </w:t>
      </w:r>
      <w:proofErr w:type="gramStart"/>
      <w:r w:rsidRPr="001A38CB">
        <w:rPr>
          <w:lang w:eastAsia="ru-RU"/>
        </w:rPr>
        <w:t>плановых</w:t>
      </w:r>
      <w:proofErr w:type="gramEnd"/>
      <w:r w:rsidRPr="001A38CB">
        <w:rPr>
          <w:lang w:eastAsia="ru-RU"/>
        </w:rPr>
        <w:t xml:space="preserve"> ТО, владелец </w:t>
      </w:r>
      <w:proofErr w:type="spellStart"/>
      <w:r w:rsidRPr="001A38CB">
        <w:rPr>
          <w:lang w:eastAsia="ru-RU"/>
        </w:rPr>
        <w:t>Solaris</w:t>
      </w:r>
      <w:proofErr w:type="spellEnd"/>
      <w:r w:rsidRPr="001A38CB">
        <w:rPr>
          <w:lang w:eastAsia="ru-RU"/>
        </w:rPr>
        <w:t xml:space="preserve"> должен самостоятельно периодически выполнять проверку состояния автомобиля:</w:t>
      </w:r>
    </w:p>
    <w:p w:rsidR="001A38CB" w:rsidRPr="001A38CB" w:rsidRDefault="001A38CB" w:rsidP="001A38CB">
      <w:pPr>
        <w:jc w:val="both"/>
        <w:rPr>
          <w:lang w:eastAsia="ru-RU"/>
        </w:rPr>
      </w:pPr>
      <w:r w:rsidRPr="001A38CB">
        <w:rPr>
          <w:lang w:eastAsia="ru-RU"/>
        </w:rPr>
        <w:t>Уровень и состояние масла в двигателе</w:t>
      </w:r>
    </w:p>
    <w:p w:rsidR="001A38CB" w:rsidRPr="001A38CB" w:rsidRDefault="001A38CB" w:rsidP="001A38CB">
      <w:pPr>
        <w:jc w:val="both"/>
        <w:rPr>
          <w:lang w:eastAsia="ru-RU"/>
        </w:rPr>
      </w:pPr>
      <w:r w:rsidRPr="001A38CB">
        <w:rPr>
          <w:lang w:eastAsia="ru-RU"/>
        </w:rPr>
        <w:t>Уровень и состояние масла в АКПП (при наличии измерительного щупа)</w:t>
      </w:r>
    </w:p>
    <w:p w:rsidR="001A38CB" w:rsidRPr="001A38CB" w:rsidRDefault="001A38CB" w:rsidP="001A38CB">
      <w:pPr>
        <w:jc w:val="both"/>
        <w:rPr>
          <w:lang w:eastAsia="ru-RU"/>
        </w:rPr>
      </w:pPr>
      <w:r w:rsidRPr="001A38CB">
        <w:rPr>
          <w:lang w:eastAsia="ru-RU"/>
        </w:rPr>
        <w:t>Уровень тормозной жидкости в бачке гидросистемы тормозов</w:t>
      </w:r>
    </w:p>
    <w:p w:rsidR="001A38CB" w:rsidRPr="001A38CB" w:rsidRDefault="001A38CB" w:rsidP="001A38CB">
      <w:pPr>
        <w:jc w:val="both"/>
        <w:rPr>
          <w:lang w:eastAsia="ru-RU"/>
        </w:rPr>
      </w:pPr>
      <w:r w:rsidRPr="001A38CB">
        <w:rPr>
          <w:lang w:eastAsia="ru-RU"/>
        </w:rPr>
        <w:t>Уровень антифриза в системе охлаждения двигателя</w:t>
      </w:r>
    </w:p>
    <w:p w:rsidR="001A38CB" w:rsidRPr="001A38CB" w:rsidRDefault="001A38CB" w:rsidP="001A38CB">
      <w:pPr>
        <w:jc w:val="both"/>
        <w:rPr>
          <w:lang w:eastAsia="ru-RU"/>
        </w:rPr>
      </w:pPr>
      <w:r w:rsidRPr="001A38CB">
        <w:rPr>
          <w:lang w:eastAsia="ru-RU"/>
        </w:rPr>
        <w:t xml:space="preserve">Уровень жидкости в бачке </w:t>
      </w:r>
      <w:proofErr w:type="spellStart"/>
      <w:r w:rsidRPr="001A38CB">
        <w:rPr>
          <w:lang w:eastAsia="ru-RU"/>
        </w:rPr>
        <w:t>омывателя</w:t>
      </w:r>
      <w:proofErr w:type="spellEnd"/>
      <w:r w:rsidRPr="001A38CB">
        <w:rPr>
          <w:lang w:eastAsia="ru-RU"/>
        </w:rPr>
        <w:t xml:space="preserve"> ветрового стекла</w:t>
      </w:r>
    </w:p>
    <w:p w:rsidR="001A38CB" w:rsidRPr="001A38CB" w:rsidRDefault="001A38CB" w:rsidP="001A38CB">
      <w:pPr>
        <w:jc w:val="both"/>
        <w:rPr>
          <w:lang w:eastAsia="ru-RU"/>
        </w:rPr>
      </w:pPr>
      <w:r w:rsidRPr="001A38CB">
        <w:rPr>
          <w:lang w:eastAsia="ru-RU"/>
        </w:rPr>
        <w:t>Давление воздуха в шинах</w:t>
      </w:r>
    </w:p>
    <w:p w:rsidR="001A38CB" w:rsidRPr="001A38CB" w:rsidRDefault="001A38CB" w:rsidP="001A38CB">
      <w:pPr>
        <w:jc w:val="both"/>
        <w:rPr>
          <w:lang w:eastAsia="ru-RU"/>
        </w:rPr>
      </w:pPr>
      <w:r w:rsidRPr="001A38CB">
        <w:rPr>
          <w:lang w:eastAsia="ru-RU"/>
        </w:rPr>
        <w:t>Состояние приводных ремней навесных агрегатов</w:t>
      </w:r>
    </w:p>
    <w:p w:rsidR="001A38CB" w:rsidRPr="001A38CB" w:rsidRDefault="001A38CB" w:rsidP="001A38CB">
      <w:pPr>
        <w:jc w:val="both"/>
        <w:rPr>
          <w:lang w:eastAsia="ru-RU"/>
        </w:rPr>
      </w:pPr>
      <w:r w:rsidRPr="001A38CB">
        <w:rPr>
          <w:lang w:eastAsia="ru-RU"/>
        </w:rPr>
        <w:t>Отсутствие утечек топлива, масел и прочих жидкостей</w:t>
      </w:r>
    </w:p>
    <w:p w:rsidR="001A38CB" w:rsidRPr="001A38CB" w:rsidRDefault="001A38CB" w:rsidP="001A38CB">
      <w:pPr>
        <w:jc w:val="both"/>
        <w:rPr>
          <w:lang w:eastAsia="ru-RU"/>
        </w:rPr>
      </w:pPr>
      <w:r w:rsidRPr="001A38CB">
        <w:rPr>
          <w:lang w:eastAsia="ru-RU"/>
        </w:rPr>
        <w:t>Другие проверки, регламентированные Руководством по Эксплуатации автомобиля, в котором также описана процедура проведения всех описанных выше проверок и контрольные значения.</w:t>
      </w:r>
    </w:p>
    <w:p w:rsidR="001A38CB" w:rsidRPr="001A38CB" w:rsidRDefault="001A38CB" w:rsidP="001A38CB">
      <w:pPr>
        <w:jc w:val="both"/>
        <w:rPr>
          <w:lang w:eastAsia="ru-RU"/>
        </w:rPr>
      </w:pPr>
      <w:r w:rsidRPr="001A38CB">
        <w:rPr>
          <w:lang w:eastAsia="ru-RU"/>
        </w:rPr>
        <w:lastRenderedPageBreak/>
        <w:t xml:space="preserve">Если автомобиль эксплуатируется в тяжелых условиях (см. ниже раздел "Тяжелые условия эксплуатации"), то интервал </w:t>
      </w:r>
      <w:proofErr w:type="gramStart"/>
      <w:r w:rsidRPr="001A38CB">
        <w:rPr>
          <w:lang w:eastAsia="ru-RU"/>
        </w:rPr>
        <w:t>проведения</w:t>
      </w:r>
      <w:proofErr w:type="gramEnd"/>
      <w:r w:rsidRPr="001A38CB">
        <w:rPr>
          <w:lang w:eastAsia="ru-RU"/>
        </w:rPr>
        <w:t xml:space="preserve"> ТО должен быть сокращен в два раза - каждые 7500 км или полгода эксплуатации. </w:t>
      </w:r>
      <w:proofErr w:type="gramStart"/>
      <w:r w:rsidRPr="001A38CB">
        <w:rPr>
          <w:lang w:eastAsia="ru-RU"/>
        </w:rPr>
        <w:t xml:space="preserve">Однако у </w:t>
      </w:r>
      <w:proofErr w:type="spellStart"/>
      <w:r w:rsidRPr="001A38CB">
        <w:rPr>
          <w:lang w:eastAsia="ru-RU"/>
        </w:rPr>
        <w:t>Hyundai</w:t>
      </w:r>
      <w:proofErr w:type="spellEnd"/>
      <w:r w:rsidRPr="001A38CB">
        <w:rPr>
          <w:lang w:eastAsia="ru-RU"/>
        </w:rPr>
        <w:t xml:space="preserve"> не существует способов определения того, в каких условиях эксплуатируется автомобиль - в обычных или тяжелых, поэтому каждый владелец автомобиля определяет для себя самостоятельно какие у него условия эксплуатации.</w:t>
      </w:r>
      <w:proofErr w:type="gramEnd"/>
    </w:p>
    <w:p w:rsidR="001A38CB" w:rsidRPr="001A38CB" w:rsidRDefault="001A38CB" w:rsidP="001A38CB">
      <w:pPr>
        <w:jc w:val="both"/>
        <w:rPr>
          <w:lang w:eastAsia="ru-RU"/>
        </w:rPr>
      </w:pPr>
      <w:r w:rsidRPr="001A38CB">
        <w:rPr>
          <w:lang w:eastAsia="ru-RU"/>
        </w:rPr>
        <w:t xml:space="preserve">После 150 тысяч км или 10 лет эксплуатации (что наступит раньше) рекомендуется проводить ТО не реже интервалов 15000 км/12 месяцев. Список работ при этом определяется по таблице </w:t>
      </w:r>
      <w:proofErr w:type="gramStart"/>
      <w:r w:rsidRPr="001A38CB">
        <w:rPr>
          <w:lang w:eastAsia="ru-RU"/>
        </w:rPr>
        <w:t>для</w:t>
      </w:r>
      <w:proofErr w:type="gramEnd"/>
      <w:r w:rsidRPr="001A38CB">
        <w:rPr>
          <w:lang w:eastAsia="ru-RU"/>
        </w:rPr>
        <w:t xml:space="preserve"> </w:t>
      </w:r>
      <w:proofErr w:type="gramStart"/>
      <w:r w:rsidRPr="001A38CB">
        <w:rPr>
          <w:lang w:eastAsia="ru-RU"/>
        </w:rPr>
        <w:t>ТО</w:t>
      </w:r>
      <w:proofErr w:type="gramEnd"/>
      <w:r w:rsidRPr="001A38CB">
        <w:rPr>
          <w:lang w:eastAsia="ru-RU"/>
        </w:rPr>
        <w:t xml:space="preserve">, которое было 60 тысяч км или 4 года назад (48 месяцев). Например, </w:t>
      </w:r>
      <w:proofErr w:type="gramStart"/>
      <w:r w:rsidRPr="001A38CB">
        <w:rPr>
          <w:lang w:eastAsia="ru-RU"/>
        </w:rPr>
        <w:t>для</w:t>
      </w:r>
      <w:proofErr w:type="gramEnd"/>
      <w:r w:rsidRPr="001A38CB">
        <w:rPr>
          <w:lang w:eastAsia="ru-RU"/>
        </w:rPr>
        <w:t xml:space="preserve"> </w:t>
      </w:r>
      <w:proofErr w:type="gramStart"/>
      <w:r w:rsidRPr="001A38CB">
        <w:rPr>
          <w:lang w:eastAsia="ru-RU"/>
        </w:rPr>
        <w:t>ТО</w:t>
      </w:r>
      <w:proofErr w:type="gramEnd"/>
      <w:r w:rsidRPr="001A38CB">
        <w:rPr>
          <w:lang w:eastAsia="ru-RU"/>
        </w:rPr>
        <w:t xml:space="preserve"> при пробеге 165 тысяч км нужно использовать список работ ТО-105 (т.к. 165 - 60 = 105).</w:t>
      </w:r>
    </w:p>
    <w:p w:rsidR="001A38CB" w:rsidRPr="001A38CB" w:rsidRDefault="001A38CB" w:rsidP="001A38CB">
      <w:pPr>
        <w:jc w:val="both"/>
        <w:rPr>
          <w:lang w:eastAsia="ru-RU"/>
        </w:rPr>
      </w:pPr>
      <w:r w:rsidRPr="001A38CB">
        <w:rPr>
          <w:lang w:eastAsia="ru-RU"/>
        </w:rPr>
        <w:t xml:space="preserve">Обсудить вопросы ТО на </w:t>
      </w:r>
      <w:proofErr w:type="spellStart"/>
      <w:r w:rsidRPr="001A38CB">
        <w:rPr>
          <w:lang w:eastAsia="ru-RU"/>
        </w:rPr>
        <w:t>Solaris</w:t>
      </w:r>
      <w:proofErr w:type="spellEnd"/>
      <w:r w:rsidRPr="001A38CB">
        <w:rPr>
          <w:lang w:eastAsia="ru-RU"/>
        </w:rPr>
        <w:t>, а также опубликовать отчет о прохождении ТО можно в </w:t>
      </w:r>
      <w:hyperlink r:id="rId6" w:history="1">
        <w:r w:rsidRPr="001A38CB">
          <w:rPr>
            <w:color w:val="2B587A"/>
            <w:u w:val="single"/>
            <w:lang w:eastAsia="ru-RU"/>
          </w:rPr>
          <w:t>форуме клуба</w:t>
        </w:r>
      </w:hyperlink>
    </w:p>
    <w:p w:rsidR="001A38CB" w:rsidRPr="001A38CB" w:rsidRDefault="001A38CB" w:rsidP="001A38CB">
      <w:pPr>
        <w:jc w:val="both"/>
        <w:rPr>
          <w:b/>
          <w:bCs/>
          <w:lang w:eastAsia="ru-RU"/>
        </w:rPr>
      </w:pPr>
      <w:proofErr w:type="gramStart"/>
      <w:r w:rsidRPr="001A38CB">
        <w:rPr>
          <w:b/>
          <w:bCs/>
          <w:lang w:eastAsia="ru-RU"/>
        </w:rPr>
        <w:t xml:space="preserve">Список базовых работ в периодических ТО для </w:t>
      </w:r>
      <w:proofErr w:type="spellStart"/>
      <w:r w:rsidRPr="001A38CB">
        <w:rPr>
          <w:b/>
          <w:bCs/>
          <w:lang w:eastAsia="ru-RU"/>
        </w:rPr>
        <w:t>Hyundai</w:t>
      </w:r>
      <w:proofErr w:type="spellEnd"/>
      <w:r w:rsidRPr="001A38CB">
        <w:rPr>
          <w:b/>
          <w:bCs/>
          <w:lang w:eastAsia="ru-RU"/>
        </w:rPr>
        <w:t xml:space="preserve"> </w:t>
      </w:r>
      <w:proofErr w:type="spellStart"/>
      <w:r w:rsidRPr="001A38CB">
        <w:rPr>
          <w:b/>
          <w:bCs/>
          <w:lang w:eastAsia="ru-RU"/>
        </w:rPr>
        <w:t>Solaris</w:t>
      </w:r>
      <w:proofErr w:type="spellEnd"/>
      <w:proofErr w:type="gramEnd"/>
    </w:p>
    <w:tbl>
      <w:tblPr>
        <w:tblW w:w="17000" w:type="dxa"/>
        <w:tblCellMar>
          <w:left w:w="0" w:type="dxa"/>
          <w:right w:w="0" w:type="dxa"/>
        </w:tblCellMar>
        <w:tblLook w:val="04A0" w:firstRow="1" w:lastRow="0" w:firstColumn="1" w:lastColumn="0" w:noHBand="0" w:noVBand="1"/>
      </w:tblPr>
      <w:tblGrid>
        <w:gridCol w:w="420"/>
        <w:gridCol w:w="6340"/>
        <w:gridCol w:w="1280"/>
        <w:gridCol w:w="1280"/>
        <w:gridCol w:w="1280"/>
        <w:gridCol w:w="1280"/>
        <w:gridCol w:w="1280"/>
        <w:gridCol w:w="1280"/>
        <w:gridCol w:w="1280"/>
        <w:gridCol w:w="1280"/>
      </w:tblGrid>
      <w:tr w:rsidR="001A38CB" w:rsidRPr="001A38CB" w:rsidTr="001A38CB">
        <w:trPr>
          <w:trHeight w:val="285"/>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w:t>
            </w:r>
          </w:p>
        </w:tc>
        <w:tc>
          <w:tcPr>
            <w:tcW w:w="6340"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Список базовых работ входящих в периодическое ТО</w:t>
            </w:r>
          </w:p>
        </w:tc>
        <w:tc>
          <w:tcPr>
            <w:tcW w:w="10240" w:type="dxa"/>
            <w:gridSpan w:val="8"/>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 xml:space="preserve">Пробег, </w:t>
            </w:r>
            <w:proofErr w:type="gramStart"/>
            <w:r w:rsidRPr="001A38CB">
              <w:rPr>
                <w:lang w:eastAsia="ru-RU"/>
              </w:rPr>
              <w:t>км</w:t>
            </w:r>
            <w:proofErr w:type="gramEnd"/>
          </w:p>
        </w:tc>
      </w:tr>
      <w:tr w:rsidR="001A38CB" w:rsidRPr="001A38CB" w:rsidTr="001A38C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8CB" w:rsidRPr="001A38CB" w:rsidRDefault="001A38CB" w:rsidP="001A38CB">
            <w:pPr>
              <w:jc w:val="both"/>
              <w:rPr>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15000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30000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45000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60000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75000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90000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105000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120000</w:t>
            </w:r>
          </w:p>
        </w:tc>
      </w:tr>
      <w:tr w:rsidR="001A38CB" w:rsidRPr="001A38CB" w:rsidTr="001A38C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8CB" w:rsidRPr="001A38CB" w:rsidRDefault="001A38CB" w:rsidP="001A38CB">
            <w:pPr>
              <w:jc w:val="both"/>
              <w:rPr>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8CB" w:rsidRPr="001A38CB" w:rsidRDefault="001A38CB" w:rsidP="001A38CB">
            <w:pPr>
              <w:jc w:val="both"/>
              <w:rPr>
                <w:lang w:eastAsia="ru-RU"/>
              </w:rPr>
            </w:pPr>
          </w:p>
        </w:tc>
        <w:tc>
          <w:tcPr>
            <w:tcW w:w="0" w:type="auto"/>
            <w:gridSpan w:val="8"/>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Месяцы эксплуатации</w:t>
            </w:r>
          </w:p>
        </w:tc>
      </w:tr>
      <w:tr w:rsidR="001A38CB" w:rsidRPr="001A38CB" w:rsidTr="001A38C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8CB" w:rsidRPr="001A38CB" w:rsidRDefault="001A38CB" w:rsidP="001A38CB">
            <w:pPr>
              <w:jc w:val="both"/>
              <w:rPr>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12</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24</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36</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48</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60</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72</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84</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r w:rsidRPr="001A38CB">
              <w:rPr>
                <w:lang w:eastAsia="ru-RU"/>
              </w:rPr>
              <w:t>96</w:t>
            </w:r>
          </w:p>
        </w:tc>
      </w:tr>
      <w:tr w:rsidR="001A38CB" w:rsidRPr="001A38CB" w:rsidTr="001A38CB">
        <w:trPr>
          <w:trHeight w:val="285"/>
        </w:trPr>
        <w:tc>
          <w:tcPr>
            <w:tcW w:w="420" w:type="dxa"/>
            <w:tcBorders>
              <w:top w:val="nil"/>
              <w:left w:val="single" w:sz="4" w:space="0" w:color="000000"/>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Моторное масло и масляный фильтр *5</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r>
      <w:tr w:rsidR="001A38CB" w:rsidRPr="001A38CB" w:rsidTr="001A38CB">
        <w:trPr>
          <w:trHeight w:val="285"/>
        </w:trPr>
        <w:tc>
          <w:tcPr>
            <w:tcW w:w="4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Свечи зажигания</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r>
      <w:tr w:rsidR="001A38CB" w:rsidRPr="001A38CB" w:rsidTr="001A38CB">
        <w:trPr>
          <w:trHeight w:val="285"/>
        </w:trPr>
        <w:tc>
          <w:tcPr>
            <w:tcW w:w="420" w:type="dxa"/>
            <w:tcBorders>
              <w:top w:val="nil"/>
              <w:left w:val="single" w:sz="4" w:space="0" w:color="000000"/>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3</w:t>
            </w:r>
          </w:p>
        </w:tc>
        <w:tc>
          <w:tcPr>
            <w:tcW w:w="6340" w:type="dxa"/>
            <w:tcBorders>
              <w:top w:val="nil"/>
              <w:left w:val="nil"/>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Фильтр очистки воздуха (воздушный фильтр двигателя)</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r>
      <w:tr w:rsidR="001A38CB" w:rsidRPr="001A38CB" w:rsidTr="001A38CB">
        <w:trPr>
          <w:trHeight w:val="285"/>
        </w:trPr>
        <w:tc>
          <w:tcPr>
            <w:tcW w:w="4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4</w:t>
            </w:r>
          </w:p>
        </w:tc>
        <w:tc>
          <w:tcPr>
            <w:tcW w:w="63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Топливный фильтр *4</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r>
      <w:tr w:rsidR="001A38CB" w:rsidRPr="001A38CB" w:rsidTr="001A38CB">
        <w:trPr>
          <w:trHeight w:val="510"/>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5</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Тормозная жидкость и жидкость гидропривода сцепления</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6</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Охлаждающая жидкость *7</w:t>
            </w:r>
          </w:p>
        </w:tc>
        <w:tc>
          <w:tcPr>
            <w:tcW w:w="0" w:type="auto"/>
            <w:gridSpan w:val="8"/>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Первая замена 210000 или 120 месяцев, далее каждые 30000 км или 24 месяца</w:t>
            </w:r>
          </w:p>
        </w:tc>
      </w:tr>
      <w:tr w:rsidR="001A38CB" w:rsidRPr="001A38CB" w:rsidTr="001A38CB">
        <w:trPr>
          <w:trHeight w:val="285"/>
        </w:trPr>
        <w:tc>
          <w:tcPr>
            <w:tcW w:w="420" w:type="dxa"/>
            <w:tcBorders>
              <w:top w:val="nil"/>
              <w:left w:val="single" w:sz="4" w:space="0" w:color="000000"/>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7</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Уровень рабочей жидкости в АКПП (при наличии)</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510"/>
        </w:trPr>
        <w:tc>
          <w:tcPr>
            <w:tcW w:w="42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8</w:t>
            </w:r>
          </w:p>
        </w:tc>
        <w:tc>
          <w:tcPr>
            <w:tcW w:w="6340" w:type="dxa"/>
            <w:tcBorders>
              <w:top w:val="nil"/>
              <w:left w:val="nil"/>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Приводные ремни навесных агрегатов и ролики ремней *2 *3</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9</w:t>
            </w:r>
          </w:p>
        </w:tc>
        <w:tc>
          <w:tcPr>
            <w:tcW w:w="6340" w:type="dxa"/>
            <w:tcBorders>
              <w:top w:val="single" w:sz="4" w:space="0" w:color="000000"/>
              <w:left w:val="nil"/>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Высоковольтные провода</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lastRenderedPageBreak/>
              <w:t>10</w:t>
            </w:r>
          </w:p>
        </w:tc>
        <w:tc>
          <w:tcPr>
            <w:tcW w:w="6340" w:type="dxa"/>
            <w:tcBorders>
              <w:top w:val="single" w:sz="4" w:space="0" w:color="000000"/>
              <w:left w:val="nil"/>
              <w:bottom w:val="nil"/>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Шланги и патрубки двигателя</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11</w:t>
            </w:r>
          </w:p>
        </w:tc>
        <w:tc>
          <w:tcPr>
            <w:tcW w:w="63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АКБ</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510"/>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12</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Жидкость гидросистемы усилителя рулевого управления, патрубки, трубки и шланги системы</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510"/>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13</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Детали подвески (включая пыльники), шаровые шарниры, крепежные элементы</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510"/>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14</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Шарниры, чехлы, пыльники элементов рулевого управления и ШРУС</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15</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Выпускная система двигателя (герметичность)</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16</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Свободный ход педалей привода сцепления и тормозов</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17</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Привод стояночного тормоза</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510"/>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18</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Воздушный фильтр системы управления микроклиматом (при наличии)</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R</w:t>
            </w:r>
          </w:p>
        </w:tc>
      </w:tr>
      <w:tr w:rsidR="001A38CB" w:rsidRPr="001A38CB" w:rsidTr="001A38CB">
        <w:trPr>
          <w:trHeight w:val="510"/>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19</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Колеса, шины (давление, износ, момент затяжки крепежных элементов)</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20</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Тормозные магистрали, шланги и соединения и тормозов</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21</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Замки, петли, фиксаторы дверей</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22</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 xml:space="preserve">Стеклоочистители, стеклоомыватели, </w:t>
            </w:r>
            <w:proofErr w:type="spellStart"/>
            <w:r w:rsidRPr="001A38CB">
              <w:rPr>
                <w:lang w:eastAsia="ru-RU"/>
              </w:rPr>
              <w:t>фароомыватели</w:t>
            </w:r>
            <w:proofErr w:type="spellEnd"/>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23</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Приборы освещения, световой и звуковой сигнализации</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c>
          <w:tcPr>
            <w:tcW w:w="0" w:type="auto"/>
            <w:tcBorders>
              <w:top w:val="nil"/>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
        </w:tc>
      </w:tr>
      <w:tr w:rsidR="001A38CB" w:rsidRPr="001A38CB" w:rsidTr="001A38CB">
        <w:trPr>
          <w:trHeight w:val="285"/>
        </w:trPr>
        <w:tc>
          <w:tcPr>
            <w:tcW w:w="4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24</w:t>
            </w:r>
          </w:p>
        </w:tc>
        <w:tc>
          <w:tcPr>
            <w:tcW w:w="63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Клапанный зазор *6</w:t>
            </w:r>
          </w:p>
        </w:tc>
        <w:tc>
          <w:tcPr>
            <w:tcW w:w="0" w:type="auto"/>
            <w:gridSpan w:val="8"/>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Каждые 90000 км или 72 месяца</w:t>
            </w:r>
          </w:p>
        </w:tc>
      </w:tr>
      <w:tr w:rsidR="001A38CB" w:rsidRPr="001A38CB" w:rsidTr="001A38CB">
        <w:trPr>
          <w:trHeight w:val="285"/>
        </w:trPr>
        <w:tc>
          <w:tcPr>
            <w:tcW w:w="676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Стоимость технического обслуживания *8,*9</w:t>
            </w:r>
          </w:p>
        </w:tc>
        <w:tc>
          <w:tcPr>
            <w:tcW w:w="0" w:type="auto"/>
            <w:tcBorders>
              <w:top w:val="single" w:sz="8" w:space="0" w:color="000000"/>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6400</w:t>
            </w:r>
          </w:p>
        </w:tc>
        <w:tc>
          <w:tcPr>
            <w:tcW w:w="0" w:type="auto"/>
            <w:tcBorders>
              <w:top w:val="single" w:sz="8" w:space="0" w:color="000000"/>
              <w:left w:val="nil"/>
              <w:bottom w:val="single" w:sz="8" w:space="0" w:color="000000"/>
              <w:right w:val="nil"/>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8970</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6400</w:t>
            </w:r>
          </w:p>
        </w:tc>
        <w:tc>
          <w:tcPr>
            <w:tcW w:w="0" w:type="auto"/>
            <w:tcBorders>
              <w:top w:val="single" w:sz="8" w:space="0" w:color="000000"/>
              <w:left w:val="nil"/>
              <w:bottom w:val="single" w:sz="8" w:space="0" w:color="000000"/>
              <w:right w:val="nil"/>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10900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6400</w:t>
            </w:r>
          </w:p>
        </w:tc>
        <w:tc>
          <w:tcPr>
            <w:tcW w:w="0" w:type="auto"/>
            <w:tcBorders>
              <w:top w:val="single" w:sz="8" w:space="0" w:color="000000"/>
              <w:left w:val="nil"/>
              <w:bottom w:val="single" w:sz="8" w:space="0" w:color="000000"/>
              <w:right w:val="nil"/>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8970</w:t>
            </w:r>
          </w:p>
        </w:tc>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6400</w:t>
            </w:r>
          </w:p>
        </w:tc>
        <w:tc>
          <w:tcPr>
            <w:tcW w:w="0" w:type="auto"/>
            <w:tcBorders>
              <w:top w:val="single" w:sz="8" w:space="0" w:color="000000"/>
              <w:left w:val="nil"/>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10900</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I</w:t>
            </w:r>
            <w:proofErr w:type="gramStart"/>
            <w:r w:rsidRPr="001A38CB">
              <w:rPr>
                <w:lang w:eastAsia="ru-RU"/>
              </w:rPr>
              <w:t xml:space="preserve"> П</w:t>
            </w:r>
            <w:proofErr w:type="gramEnd"/>
            <w:r w:rsidRPr="001A38CB">
              <w:rPr>
                <w:lang w:eastAsia="ru-RU"/>
              </w:rPr>
              <w:t>роверить и, при необходимости, заменить, почистить, смазать и/или отрегулировать.</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634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*1</w:t>
            </w:r>
            <w:proofErr w:type="gramStart"/>
            <w:r w:rsidRPr="001A38CB">
              <w:rPr>
                <w:lang w:eastAsia="ru-RU"/>
              </w:rPr>
              <w:t xml:space="preserve"> В</w:t>
            </w:r>
            <w:proofErr w:type="gramEnd"/>
            <w:r w:rsidRPr="001A38CB">
              <w:rPr>
                <w:lang w:eastAsia="ru-RU"/>
              </w:rPr>
              <w:t xml:space="preserve"> случае, если высококачественный бензин, </w:t>
            </w:r>
            <w:proofErr w:type="spellStart"/>
            <w:r w:rsidRPr="001A38CB">
              <w:rPr>
                <w:lang w:eastAsia="ru-RU"/>
              </w:rPr>
              <w:t>соответсвующий</w:t>
            </w:r>
            <w:proofErr w:type="spellEnd"/>
            <w:r w:rsidRPr="001A38CB">
              <w:rPr>
                <w:lang w:eastAsia="ru-RU"/>
              </w:rPr>
              <w:t xml:space="preserve"> требованиям Европейского Топливного Стандарта (EN228) или аналогичных </w:t>
            </w:r>
            <w:proofErr w:type="spellStart"/>
            <w:r w:rsidRPr="001A38CB">
              <w:rPr>
                <w:lang w:eastAsia="ru-RU"/>
              </w:rPr>
              <w:t>стандратов</w:t>
            </w:r>
            <w:proofErr w:type="spellEnd"/>
            <w:r w:rsidRPr="001A38CB">
              <w:rPr>
                <w:lang w:eastAsia="ru-RU"/>
              </w:rPr>
              <w:t xml:space="preserve"> отсутствует в продаже, рекомендуется использовать присадки к топливу. Бутылку присадки на бак топлива рекомендуется добавлять через каждые 5000 км пробега. Присадки можно </w:t>
            </w:r>
            <w:proofErr w:type="spellStart"/>
            <w:r w:rsidRPr="001A38CB">
              <w:rPr>
                <w:lang w:eastAsia="ru-RU"/>
              </w:rPr>
              <w:t>проибрести</w:t>
            </w:r>
            <w:proofErr w:type="spellEnd"/>
            <w:r w:rsidRPr="001A38CB">
              <w:rPr>
                <w:lang w:eastAsia="ru-RU"/>
              </w:rPr>
              <w:t xml:space="preserve"> у авторизованного дилера компании </w:t>
            </w:r>
            <w:proofErr w:type="spellStart"/>
            <w:r w:rsidRPr="001A38CB">
              <w:rPr>
                <w:lang w:eastAsia="ru-RU"/>
              </w:rPr>
              <w:t>Hyundai</w:t>
            </w:r>
            <w:proofErr w:type="spellEnd"/>
            <w:r w:rsidRPr="001A38CB">
              <w:rPr>
                <w:lang w:eastAsia="ru-RU"/>
              </w:rPr>
              <w:t>; там же можно получить инструкции по использованию присадок. Нельзя смешивать присадки разных марок.</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634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*2 Регулировка (при необходимости, замена) ремня привода генератора, насоса усилителя рулевого управления, насоса ОЖ, а также ремня привода компрессора кондиционера (при наличии).</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634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*3</w:t>
            </w:r>
            <w:proofErr w:type="gramStart"/>
            <w:r w:rsidRPr="001A38CB">
              <w:rPr>
                <w:lang w:eastAsia="ru-RU"/>
              </w:rPr>
              <w:t xml:space="preserve"> О</w:t>
            </w:r>
            <w:proofErr w:type="gramEnd"/>
            <w:r w:rsidRPr="001A38CB">
              <w:rPr>
                <w:lang w:eastAsia="ru-RU"/>
              </w:rPr>
              <w:t xml:space="preserve">смотрите </w:t>
            </w:r>
            <w:proofErr w:type="spellStart"/>
            <w:r w:rsidRPr="001A38CB">
              <w:rPr>
                <w:lang w:eastAsia="ru-RU"/>
              </w:rPr>
              <w:t>натяжитель</w:t>
            </w:r>
            <w:proofErr w:type="spellEnd"/>
            <w:r w:rsidRPr="001A38CB">
              <w:rPr>
                <w:lang w:eastAsia="ru-RU"/>
              </w:rPr>
              <w:t xml:space="preserve"> приводного ремня, направляющий шкив и шкив генератора; при необходимости, исправьте или замените.</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 xml:space="preserve">*4 Топливный фильтр считается компонентом, не требующим технического обслуживания, но всё же рекомендуется периодически его проверять. График </w:t>
            </w:r>
            <w:proofErr w:type="spellStart"/>
            <w:r w:rsidRPr="001A38CB">
              <w:rPr>
                <w:lang w:eastAsia="ru-RU"/>
              </w:rPr>
              <w:t>техничесекого</w:t>
            </w:r>
            <w:proofErr w:type="spellEnd"/>
            <w:r w:rsidRPr="001A38CB">
              <w:rPr>
                <w:lang w:eastAsia="ru-RU"/>
              </w:rPr>
              <w:t xml:space="preserve"> обслуживания зависит от качества используемого топлива. При возникновении серьёзных неполадок (например, ограничения подачи топлива, неконтролируемого резкого увеличения подачи, потери мощности, затруднений при запуске двигателя) немедленно замените фильтр вне зависимости от графика технического обслуживания, также рекомендуется обратиться к авторизованному дилеру компании </w:t>
            </w:r>
            <w:proofErr w:type="spellStart"/>
            <w:r w:rsidRPr="001A38CB">
              <w:rPr>
                <w:lang w:eastAsia="ru-RU"/>
              </w:rPr>
              <w:t>Hyundai</w:t>
            </w:r>
            <w:proofErr w:type="spellEnd"/>
            <w:r w:rsidRPr="001A38CB">
              <w:rPr>
                <w:lang w:eastAsia="ru-RU"/>
              </w:rPr>
              <w:t xml:space="preserve"> за дополнительной информацией.</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*5 Проверка уровня масла в двигателе и отсутствия утечек через каждые 500 км или перед продолжительной поездкой</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*6</w:t>
            </w:r>
            <w:proofErr w:type="gramStart"/>
            <w:r w:rsidRPr="001A38CB">
              <w:rPr>
                <w:lang w:eastAsia="ru-RU"/>
              </w:rPr>
              <w:t xml:space="preserve"> П</w:t>
            </w:r>
            <w:proofErr w:type="gramEnd"/>
            <w:r w:rsidRPr="001A38CB">
              <w:rPr>
                <w:lang w:eastAsia="ru-RU"/>
              </w:rPr>
              <w:t>ри наличии сильного шума и/или вибрации двигателя выполните проверку (при необходимости, регулировку).</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hideMark/>
          </w:tcPr>
          <w:p w:rsidR="001A38CB" w:rsidRPr="001A38CB" w:rsidRDefault="001A38CB" w:rsidP="001A38CB">
            <w:pPr>
              <w:jc w:val="both"/>
              <w:rPr>
                <w:lang w:eastAsia="ru-RU"/>
              </w:rPr>
            </w:pPr>
            <w:r w:rsidRPr="001A38CB">
              <w:rPr>
                <w:lang w:eastAsia="ru-RU"/>
              </w:rPr>
              <w:t>*7</w:t>
            </w:r>
            <w:proofErr w:type="gramStart"/>
            <w:r w:rsidRPr="001A38CB">
              <w:rPr>
                <w:lang w:eastAsia="ru-RU"/>
              </w:rPr>
              <w:t xml:space="preserve"> К</w:t>
            </w:r>
            <w:proofErr w:type="gramEnd"/>
            <w:r w:rsidRPr="001A38CB">
              <w:rPr>
                <w:lang w:eastAsia="ru-RU"/>
              </w:rPr>
              <w:t xml:space="preserve">огда добавляется охлаждающая жидкость, нужно применять в вашем автомобиле только </w:t>
            </w:r>
            <w:proofErr w:type="spellStart"/>
            <w:r w:rsidRPr="001A38CB">
              <w:rPr>
                <w:lang w:eastAsia="ru-RU"/>
              </w:rPr>
              <w:t>деионизированную</w:t>
            </w:r>
            <w:proofErr w:type="spellEnd"/>
            <w:r w:rsidRPr="001A38CB">
              <w:rPr>
                <w:lang w:eastAsia="ru-RU"/>
              </w:rPr>
              <w:t xml:space="preserve"> или мягкую воду и никогда не добавлять жёсткую воду в охлаждающую жидкость, залитую на заводе. Неподходящая охлаждающая жидкость может привести к серьёзным неисправностям или поломкам двигателя.</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*8 Чистка, ремонт, регулировка, замена деталей и узлов и прочие дополнительные работы, необходимые для приведения автомобиля в технически исправное состояние и не включенные в перечень обязательных работ по регламенту техобслуживания, не учтены заводскими нормативами трудоёмкости конкретного техобслуживания, поэтому итоговая стоимость может измениться</w:t>
            </w: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634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c>
          <w:tcPr>
            <w:tcW w:w="1280" w:type="dxa"/>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p>
        </w:tc>
      </w:tr>
      <w:tr w:rsidR="001A38CB" w:rsidRPr="001A38CB" w:rsidTr="001A38CB">
        <w:trPr>
          <w:trHeight w:val="28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1A38CB" w:rsidRPr="001A38CB" w:rsidRDefault="001A38CB" w:rsidP="001A38CB">
            <w:pPr>
              <w:jc w:val="both"/>
              <w:rPr>
                <w:lang w:eastAsia="ru-RU"/>
              </w:rPr>
            </w:pPr>
          </w:p>
        </w:tc>
        <w:tc>
          <w:tcPr>
            <w:tcW w:w="16580" w:type="dxa"/>
            <w:gridSpan w:val="9"/>
            <w:tcBorders>
              <w:top w:val="nil"/>
              <w:left w:val="nil"/>
              <w:bottom w:val="nil"/>
              <w:right w:val="nil"/>
            </w:tcBorders>
            <w:shd w:val="clear" w:color="auto" w:fill="FFFFFF"/>
            <w:tcMar>
              <w:top w:w="15" w:type="dxa"/>
              <w:left w:w="15" w:type="dxa"/>
              <w:bottom w:w="0" w:type="dxa"/>
              <w:right w:w="15" w:type="dxa"/>
            </w:tcMar>
            <w:vAlign w:val="center"/>
            <w:hideMark/>
          </w:tcPr>
          <w:p w:rsidR="001A38CB" w:rsidRPr="001A38CB" w:rsidRDefault="001A38CB" w:rsidP="001A38CB">
            <w:pPr>
              <w:jc w:val="both"/>
              <w:rPr>
                <w:lang w:eastAsia="ru-RU"/>
              </w:rPr>
            </w:pPr>
            <w:r w:rsidRPr="001A38CB">
              <w:rPr>
                <w:lang w:eastAsia="ru-RU"/>
              </w:rPr>
              <w:t>*9-Указана стоимость базового сервисного обслуживания (</w:t>
            </w:r>
            <w:proofErr w:type="gramStart"/>
            <w:r w:rsidRPr="001A38CB">
              <w:rPr>
                <w:lang w:eastAsia="ru-RU"/>
              </w:rPr>
              <w:t>согласно регламента</w:t>
            </w:r>
            <w:proofErr w:type="gramEnd"/>
            <w:r w:rsidRPr="001A38CB">
              <w:rPr>
                <w:lang w:eastAsia="ru-RU"/>
              </w:rPr>
              <w:t xml:space="preserve"> производителя)</w:t>
            </w:r>
          </w:p>
        </w:tc>
      </w:tr>
    </w:tbl>
    <w:p w:rsidR="001A38CB" w:rsidRPr="001A38CB" w:rsidRDefault="001A38CB" w:rsidP="001A38CB">
      <w:pPr>
        <w:jc w:val="both"/>
        <w:rPr>
          <w:lang w:eastAsia="ru-RU"/>
        </w:rPr>
      </w:pPr>
      <w:r w:rsidRPr="001A38CB">
        <w:rPr>
          <w:lang w:eastAsia="ru-RU"/>
        </w:rPr>
        <w:t>Коды работ по обслуживанию:</w:t>
      </w:r>
    </w:p>
    <w:p w:rsidR="001A38CB" w:rsidRPr="001A38CB" w:rsidRDefault="001A38CB" w:rsidP="001A38CB">
      <w:pPr>
        <w:jc w:val="both"/>
        <w:rPr>
          <w:lang w:eastAsia="ru-RU"/>
        </w:rPr>
      </w:pPr>
      <w:r w:rsidRPr="001A38CB">
        <w:rPr>
          <w:lang w:eastAsia="ru-RU"/>
        </w:rPr>
        <w:t>I - проверить детали, узлы или расходные материалы, если это необходимо</w:t>
      </w:r>
    </w:p>
    <w:p w:rsidR="001A38CB" w:rsidRPr="001A38CB" w:rsidRDefault="001A38CB" w:rsidP="001A38CB">
      <w:pPr>
        <w:jc w:val="both"/>
        <w:rPr>
          <w:lang w:eastAsia="ru-RU"/>
        </w:rPr>
      </w:pPr>
      <w:r w:rsidRPr="001A38CB">
        <w:rPr>
          <w:lang w:eastAsia="ru-RU"/>
        </w:rPr>
        <w:t>R - замена </w:t>
      </w:r>
    </w:p>
    <w:p w:rsidR="001A38CB" w:rsidRPr="001A38CB" w:rsidRDefault="001A38CB" w:rsidP="001A38CB">
      <w:pPr>
        <w:jc w:val="both"/>
        <w:rPr>
          <w:lang w:eastAsia="ru-RU"/>
        </w:rPr>
      </w:pPr>
      <w:r w:rsidRPr="001A38CB">
        <w:rPr>
          <w:lang w:eastAsia="ru-RU"/>
        </w:rPr>
        <w:t>Тяжелые условия эксплуатации</w:t>
      </w:r>
    </w:p>
    <w:p w:rsidR="001A38CB" w:rsidRPr="001A38CB" w:rsidRDefault="001A38CB" w:rsidP="001A38CB">
      <w:pPr>
        <w:jc w:val="both"/>
        <w:rPr>
          <w:lang w:eastAsia="ru-RU"/>
        </w:rPr>
      </w:pPr>
      <w:r w:rsidRPr="001A38CB">
        <w:rPr>
          <w:lang w:eastAsia="ru-RU"/>
        </w:rPr>
        <w:t xml:space="preserve">Условия эксплуатации относятся к </w:t>
      </w:r>
      <w:proofErr w:type="gramStart"/>
      <w:r w:rsidRPr="001A38CB">
        <w:rPr>
          <w:lang w:eastAsia="ru-RU"/>
        </w:rPr>
        <w:t>тяжелым</w:t>
      </w:r>
      <w:proofErr w:type="gramEnd"/>
      <w:r w:rsidRPr="001A38CB">
        <w:rPr>
          <w:lang w:eastAsia="ru-RU"/>
        </w:rPr>
        <w:t>, если они соответствуют указанным ниже:</w:t>
      </w:r>
    </w:p>
    <w:p w:rsidR="001A38CB" w:rsidRPr="001A38CB" w:rsidRDefault="001A38CB" w:rsidP="001A38CB">
      <w:pPr>
        <w:jc w:val="both"/>
        <w:rPr>
          <w:lang w:eastAsia="ru-RU"/>
        </w:rPr>
      </w:pPr>
      <w:r w:rsidRPr="001A38CB">
        <w:rPr>
          <w:lang w:eastAsia="ru-RU"/>
        </w:rPr>
        <w:t>Движение при сильной запыленности окружающего воздуха;</w:t>
      </w:r>
    </w:p>
    <w:p w:rsidR="001A38CB" w:rsidRPr="001A38CB" w:rsidRDefault="001A38CB" w:rsidP="001A38CB">
      <w:pPr>
        <w:jc w:val="both"/>
        <w:rPr>
          <w:lang w:eastAsia="ru-RU"/>
        </w:rPr>
      </w:pPr>
      <w:proofErr w:type="gramStart"/>
      <w:r w:rsidRPr="001A38CB">
        <w:rPr>
          <w:lang w:eastAsia="ru-RU"/>
        </w:rPr>
        <w:t>Движение по ухабистым и/или залитым водой дорогам, холмистой или по горной местности;</w:t>
      </w:r>
      <w:proofErr w:type="gramEnd"/>
    </w:p>
    <w:p w:rsidR="001A38CB" w:rsidRPr="001A38CB" w:rsidRDefault="001A38CB" w:rsidP="001A38CB">
      <w:pPr>
        <w:jc w:val="both"/>
        <w:rPr>
          <w:lang w:eastAsia="ru-RU"/>
        </w:rPr>
      </w:pPr>
      <w:r w:rsidRPr="001A38CB">
        <w:rPr>
          <w:lang w:eastAsia="ru-RU"/>
        </w:rPr>
        <w:t>Эксплуатация Автомобиля при среднемесячной температуре окружающего воздуха ниже -30</w:t>
      </w:r>
      <w:proofErr w:type="gramStart"/>
      <w:r w:rsidRPr="001A38CB">
        <w:rPr>
          <w:lang w:eastAsia="ru-RU"/>
        </w:rPr>
        <w:t>° С</w:t>
      </w:r>
      <w:proofErr w:type="gramEnd"/>
      <w:r w:rsidRPr="001A38CB">
        <w:rPr>
          <w:lang w:eastAsia="ru-RU"/>
        </w:rPr>
        <w:t xml:space="preserve"> и/или выше +30° С</w:t>
      </w:r>
    </w:p>
    <w:p w:rsidR="001A38CB" w:rsidRPr="001A38CB" w:rsidRDefault="001A38CB" w:rsidP="001A38CB">
      <w:pPr>
        <w:jc w:val="both"/>
        <w:rPr>
          <w:lang w:eastAsia="ru-RU"/>
        </w:rPr>
      </w:pPr>
      <w:r w:rsidRPr="001A38CB">
        <w:rPr>
          <w:lang w:eastAsia="ru-RU"/>
        </w:rPr>
        <w:t>Эксплуатация Автомобиля с длительными периодами работы двигателя на холостом ходу и/или поездками на небольшие расстояния при низких температурах окружающего воздуха</w:t>
      </w:r>
    </w:p>
    <w:p w:rsidR="001A38CB" w:rsidRPr="001A38CB" w:rsidRDefault="001A38CB" w:rsidP="001A38CB">
      <w:pPr>
        <w:jc w:val="both"/>
        <w:rPr>
          <w:lang w:eastAsia="ru-RU"/>
        </w:rPr>
      </w:pPr>
      <w:r w:rsidRPr="001A38CB">
        <w:rPr>
          <w:lang w:eastAsia="ru-RU"/>
        </w:rPr>
        <w:t>Движение с частыми интенсивными торможениями</w:t>
      </w:r>
    </w:p>
    <w:p w:rsidR="001A38CB" w:rsidRPr="001A38CB" w:rsidRDefault="001A38CB" w:rsidP="001A38CB">
      <w:pPr>
        <w:jc w:val="both"/>
        <w:rPr>
          <w:lang w:eastAsia="ru-RU"/>
        </w:rPr>
      </w:pPr>
      <w:r w:rsidRPr="001A38CB">
        <w:rPr>
          <w:lang w:eastAsia="ru-RU"/>
        </w:rPr>
        <w:t>Буксировка прицепа</w:t>
      </w:r>
    </w:p>
    <w:p w:rsidR="001A38CB" w:rsidRPr="001A38CB" w:rsidRDefault="001A38CB" w:rsidP="001A38CB">
      <w:pPr>
        <w:jc w:val="both"/>
        <w:rPr>
          <w:lang w:eastAsia="ru-RU"/>
        </w:rPr>
      </w:pPr>
      <w:r w:rsidRPr="001A38CB">
        <w:rPr>
          <w:lang w:eastAsia="ru-RU"/>
        </w:rPr>
        <w:t xml:space="preserve">Эксплуатация Автомобиля в режиме такси, прокатного автомобиля или используемого в любых других </w:t>
      </w:r>
      <w:proofErr w:type="spellStart"/>
      <w:r w:rsidRPr="001A38CB">
        <w:rPr>
          <w:lang w:eastAsia="ru-RU"/>
        </w:rPr>
        <w:t>комерческих</w:t>
      </w:r>
      <w:proofErr w:type="spellEnd"/>
      <w:r w:rsidRPr="001A38CB">
        <w:rPr>
          <w:lang w:eastAsia="ru-RU"/>
        </w:rPr>
        <w:t xml:space="preserve"> целях;</w:t>
      </w:r>
    </w:p>
    <w:p w:rsidR="001A38CB" w:rsidRPr="001A38CB" w:rsidRDefault="001A38CB" w:rsidP="001A38CB">
      <w:pPr>
        <w:jc w:val="both"/>
        <w:rPr>
          <w:lang w:eastAsia="ru-RU"/>
        </w:rPr>
      </w:pPr>
      <w:r w:rsidRPr="001A38CB">
        <w:rPr>
          <w:lang w:eastAsia="ru-RU"/>
        </w:rPr>
        <w:t>Эксплуатация Автомобиля при условии более 50% времени работы двигателя в режиме холостого хода</w:t>
      </w:r>
    </w:p>
    <w:p w:rsidR="001A38CB" w:rsidRPr="001A38CB" w:rsidRDefault="001A38CB" w:rsidP="001A38CB">
      <w:pPr>
        <w:jc w:val="both"/>
        <w:rPr>
          <w:lang w:eastAsia="ru-RU"/>
        </w:rPr>
      </w:pPr>
      <w:r w:rsidRPr="001A38CB">
        <w:rPr>
          <w:lang w:eastAsia="ru-RU"/>
        </w:rPr>
        <w:t xml:space="preserve">Эксплуатация Автомобиля при условии более 50% времени в режиме движения со </w:t>
      </w:r>
      <w:proofErr w:type="spellStart"/>
      <w:r w:rsidRPr="001A38CB">
        <w:rPr>
          <w:lang w:eastAsia="ru-RU"/>
        </w:rPr>
        <w:t>скороостью</w:t>
      </w:r>
      <w:proofErr w:type="spellEnd"/>
      <w:r w:rsidRPr="001A38CB">
        <w:rPr>
          <w:lang w:eastAsia="ru-RU"/>
        </w:rPr>
        <w:t xml:space="preserve"> более 120 км/ч</w:t>
      </w:r>
    </w:p>
    <w:p w:rsidR="001A38CB" w:rsidRPr="001A38CB" w:rsidRDefault="001A38CB" w:rsidP="001A38CB">
      <w:pPr>
        <w:jc w:val="both"/>
        <w:rPr>
          <w:lang w:eastAsia="ru-RU"/>
        </w:rPr>
      </w:pPr>
      <w:r w:rsidRPr="001A38CB">
        <w:rPr>
          <w:lang w:eastAsia="ru-RU"/>
        </w:rPr>
        <w:t xml:space="preserve">Эксплуатация Автомобиля в качестве транспортного средства специальных и оперативных служб таких как: (включая, </w:t>
      </w:r>
      <w:proofErr w:type="gramStart"/>
      <w:r w:rsidRPr="001A38CB">
        <w:rPr>
          <w:lang w:eastAsia="ru-RU"/>
        </w:rPr>
        <w:t>но</w:t>
      </w:r>
      <w:proofErr w:type="gramEnd"/>
      <w:r w:rsidRPr="001A38CB">
        <w:rPr>
          <w:lang w:eastAsia="ru-RU"/>
        </w:rPr>
        <w:t xml:space="preserve"> не ограничиваясь) милиция, служба спасения, скорая медицинская помощь, аварийные службы и т.п.</w:t>
      </w:r>
    </w:p>
    <w:p w:rsidR="001A38CB" w:rsidRDefault="001A38CB" w:rsidP="001A38CB">
      <w:pPr>
        <w:jc w:val="both"/>
        <w:rPr>
          <w:lang w:eastAsia="ru-RU"/>
        </w:rPr>
      </w:pPr>
      <w:r w:rsidRPr="001A38CB">
        <w:rPr>
          <w:lang w:eastAsia="ru-RU"/>
        </w:rPr>
        <w:t>Периодическое техническое обслуживание при тяжелых условиях эксплуатации</w:t>
      </w:r>
    </w:p>
    <w:p w:rsidR="001A38CB" w:rsidRDefault="001A38CB" w:rsidP="001A38CB">
      <w:pPr>
        <w:jc w:val="both"/>
        <w:rPr>
          <w:lang w:eastAsia="ru-RU"/>
        </w:rPr>
      </w:pPr>
    </w:p>
    <w:p w:rsidR="001A38CB" w:rsidRPr="001A38CB" w:rsidRDefault="001A38CB" w:rsidP="001A38CB">
      <w:pPr>
        <w:jc w:val="both"/>
        <w:rPr>
          <w:lang w:eastAsia="ru-RU"/>
        </w:rPr>
      </w:pPr>
      <w:bookmarkStart w:id="0" w:name="_GoBack"/>
      <w:bookmarkEnd w:id="0"/>
    </w:p>
    <w:tbl>
      <w:tblPr>
        <w:tblW w:w="10215" w:type="dxa"/>
        <w:tblCellSpacing w:w="7" w:type="dxa"/>
        <w:shd w:val="clear" w:color="auto" w:fill="999999"/>
        <w:tblCellMar>
          <w:left w:w="0" w:type="dxa"/>
          <w:right w:w="0" w:type="dxa"/>
        </w:tblCellMar>
        <w:tblLook w:val="04A0" w:firstRow="1" w:lastRow="0" w:firstColumn="1" w:lastColumn="0" w:noHBand="0" w:noVBand="1"/>
      </w:tblPr>
      <w:tblGrid>
        <w:gridCol w:w="740"/>
        <w:gridCol w:w="5872"/>
        <w:gridCol w:w="590"/>
        <w:gridCol w:w="253"/>
        <w:gridCol w:w="253"/>
        <w:gridCol w:w="253"/>
        <w:gridCol w:w="253"/>
        <w:gridCol w:w="253"/>
        <w:gridCol w:w="253"/>
        <w:gridCol w:w="372"/>
        <w:gridCol w:w="372"/>
        <w:gridCol w:w="372"/>
        <w:gridCol w:w="379"/>
      </w:tblGrid>
      <w:tr w:rsidR="001A38CB" w:rsidRPr="001A38CB" w:rsidTr="001A38CB">
        <w:trPr>
          <w:tblCellSpacing w:w="7" w:type="dxa"/>
        </w:trPr>
        <w:tc>
          <w:tcPr>
            <w:tcW w:w="0" w:type="auto"/>
            <w:gridSpan w:val="2"/>
            <w:shd w:val="clear" w:color="auto" w:fill="999999"/>
            <w:vAlign w:val="center"/>
            <w:hideMark/>
          </w:tcPr>
          <w:p w:rsidR="001A38CB" w:rsidRPr="001A38CB" w:rsidRDefault="001A38CB" w:rsidP="001A38CB">
            <w:pPr>
              <w:jc w:val="both"/>
              <w:rPr>
                <w:lang w:eastAsia="ru-RU"/>
              </w:rPr>
            </w:pPr>
            <w:r w:rsidRPr="001A38CB">
              <w:rPr>
                <w:lang w:eastAsia="ru-RU"/>
              </w:rPr>
              <w:lastRenderedPageBreak/>
              <w:t>Год</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1 месяц</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1</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2</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3</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4</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5</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6</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7</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8</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9</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10</w:t>
            </w:r>
          </w:p>
        </w:tc>
      </w:tr>
      <w:tr w:rsidR="001A38CB" w:rsidRPr="001A38CB" w:rsidTr="001A38CB">
        <w:trPr>
          <w:tblCellSpacing w:w="7" w:type="dxa"/>
        </w:trPr>
        <w:tc>
          <w:tcPr>
            <w:tcW w:w="0" w:type="auto"/>
            <w:gridSpan w:val="2"/>
            <w:shd w:val="clear" w:color="auto" w:fill="999999"/>
            <w:vAlign w:val="center"/>
            <w:hideMark/>
          </w:tcPr>
          <w:p w:rsidR="001A38CB" w:rsidRPr="001A38CB" w:rsidRDefault="001A38CB" w:rsidP="001A38CB">
            <w:pPr>
              <w:jc w:val="both"/>
              <w:rPr>
                <w:lang w:eastAsia="ru-RU"/>
              </w:rPr>
            </w:pPr>
            <w:r w:rsidRPr="001A38CB">
              <w:rPr>
                <w:lang w:eastAsia="ru-RU"/>
              </w:rPr>
              <w:t xml:space="preserve">Пробег </w:t>
            </w:r>
            <w:proofErr w:type="spellStart"/>
            <w:r w:rsidRPr="001A38CB">
              <w:rPr>
                <w:lang w:eastAsia="ru-RU"/>
              </w:rPr>
              <w:t>тыс.км</w:t>
            </w:r>
            <w:proofErr w:type="spellEnd"/>
            <w:r w:rsidRPr="001A38CB">
              <w:rPr>
                <w:lang w:eastAsia="ru-RU"/>
              </w:rPr>
              <w:t>.</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1</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15</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30</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45</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60</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75</w:t>
            </w:r>
          </w:p>
        </w:tc>
        <w:tc>
          <w:tcPr>
            <w:tcW w:w="240" w:type="dxa"/>
            <w:shd w:val="clear" w:color="auto" w:fill="FFFFFF"/>
            <w:vAlign w:val="center"/>
            <w:hideMark/>
          </w:tcPr>
          <w:p w:rsidR="001A38CB" w:rsidRPr="001A38CB" w:rsidRDefault="001A38CB" w:rsidP="001A38CB">
            <w:pPr>
              <w:jc w:val="both"/>
              <w:rPr>
                <w:lang w:eastAsia="ru-RU"/>
              </w:rPr>
            </w:pPr>
            <w:r w:rsidRPr="001A38CB">
              <w:rPr>
                <w:lang w:eastAsia="ru-RU"/>
              </w:rPr>
              <w:t>90</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105</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120</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135</w:t>
            </w:r>
          </w:p>
        </w:tc>
        <w:tc>
          <w:tcPr>
            <w:tcW w:w="360" w:type="dxa"/>
            <w:shd w:val="clear" w:color="auto" w:fill="FFFFFF"/>
            <w:vAlign w:val="center"/>
            <w:hideMark/>
          </w:tcPr>
          <w:p w:rsidR="001A38CB" w:rsidRPr="001A38CB" w:rsidRDefault="001A38CB" w:rsidP="001A38CB">
            <w:pPr>
              <w:jc w:val="both"/>
              <w:rPr>
                <w:lang w:eastAsia="ru-RU"/>
              </w:rPr>
            </w:pPr>
            <w:r w:rsidRPr="001A38CB">
              <w:rPr>
                <w:lang w:eastAsia="ru-RU"/>
              </w:rPr>
              <w:t>150</w:t>
            </w:r>
          </w:p>
        </w:tc>
      </w:tr>
      <w:tr w:rsidR="001A38CB" w:rsidRPr="001A38CB" w:rsidTr="001A38CB">
        <w:trPr>
          <w:tblCellSpacing w:w="7" w:type="dxa"/>
        </w:trPr>
        <w:tc>
          <w:tcPr>
            <w:tcW w:w="0" w:type="auto"/>
            <w:gridSpan w:val="13"/>
            <w:shd w:val="clear" w:color="auto" w:fill="999999"/>
            <w:vAlign w:val="center"/>
            <w:hideMark/>
          </w:tcPr>
          <w:p w:rsidR="001A38CB" w:rsidRPr="001A38CB" w:rsidRDefault="001A38CB" w:rsidP="001A38CB">
            <w:pPr>
              <w:jc w:val="both"/>
              <w:rPr>
                <w:lang w:eastAsia="ru-RU"/>
              </w:rPr>
            </w:pPr>
            <w:r w:rsidRPr="001A38CB">
              <w:rPr>
                <w:lang w:eastAsia="ru-RU"/>
              </w:rPr>
              <w:t>Регулярно заменяемые запасные части, масла и жидкости</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1</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Моторное масло и масляный фильтр двигателя*</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R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2</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Воздушный фильтр двигателя</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R - каждые 7 500 км или 6 месяцев</w:t>
            </w:r>
          </w:p>
        </w:tc>
      </w:tr>
      <w:tr w:rsidR="001A38CB" w:rsidRPr="001A38CB" w:rsidTr="001A38CB">
        <w:trPr>
          <w:tblCellSpacing w:w="7" w:type="dxa"/>
        </w:trPr>
        <w:tc>
          <w:tcPr>
            <w:tcW w:w="0" w:type="auto"/>
            <w:gridSpan w:val="13"/>
            <w:shd w:val="clear" w:color="auto" w:fill="999999"/>
            <w:vAlign w:val="center"/>
            <w:hideMark/>
          </w:tcPr>
          <w:p w:rsidR="001A38CB" w:rsidRPr="001A38CB" w:rsidRDefault="001A38CB" w:rsidP="001A38CB">
            <w:pPr>
              <w:jc w:val="both"/>
              <w:rPr>
                <w:lang w:eastAsia="ru-RU"/>
              </w:rPr>
            </w:pPr>
            <w:r w:rsidRPr="001A38CB">
              <w:rPr>
                <w:lang w:eastAsia="ru-RU"/>
              </w:rPr>
              <w:t>Операции под автомобилем</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3</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Детали подвески (включая пыльники), шаровые шарниры, крепежные элементы</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4</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Чехлы, пыльники шарниров приводов (ШРУС)</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5</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Шарниры, чехлы и пыльники рулевого привода, жидкость гидросистемы усилителя рулевого управления</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0" w:type="auto"/>
            <w:gridSpan w:val="13"/>
            <w:shd w:val="clear" w:color="auto" w:fill="999999"/>
            <w:vAlign w:val="center"/>
            <w:hideMark/>
          </w:tcPr>
          <w:p w:rsidR="001A38CB" w:rsidRPr="001A38CB" w:rsidRDefault="001A38CB" w:rsidP="001A38CB">
            <w:pPr>
              <w:jc w:val="both"/>
              <w:rPr>
                <w:lang w:eastAsia="ru-RU"/>
              </w:rPr>
            </w:pPr>
            <w:r w:rsidRPr="001A38CB">
              <w:rPr>
                <w:lang w:eastAsia="ru-RU"/>
              </w:rPr>
              <w:t>Операции внутри автомобиля</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6</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Свободный ход педалей привода сцепления и тормозов</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7</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Привод стояночного тормоза</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0" w:type="auto"/>
            <w:gridSpan w:val="13"/>
            <w:shd w:val="clear" w:color="auto" w:fill="999999"/>
            <w:vAlign w:val="center"/>
            <w:hideMark/>
          </w:tcPr>
          <w:p w:rsidR="001A38CB" w:rsidRPr="001A38CB" w:rsidRDefault="001A38CB" w:rsidP="001A38CB">
            <w:pPr>
              <w:jc w:val="both"/>
              <w:rPr>
                <w:lang w:eastAsia="ru-RU"/>
              </w:rPr>
            </w:pPr>
            <w:r w:rsidRPr="001A38CB">
              <w:rPr>
                <w:lang w:eastAsia="ru-RU"/>
              </w:rPr>
              <w:t>Операции снаружи автомобиля</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8</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Колеса, шины (давление, износ, момент затяжки крепежных элементов)</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9</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Шланги и трубки тормозной системы (герметичность)</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10</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Тормозные колодки, барабаны, диски</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r w:rsidR="001A38CB" w:rsidRPr="001A38CB" w:rsidTr="001A38CB">
        <w:trPr>
          <w:tblCellSpacing w:w="7" w:type="dxa"/>
        </w:trPr>
        <w:tc>
          <w:tcPr>
            <w:tcW w:w="750" w:type="dxa"/>
            <w:shd w:val="clear" w:color="auto" w:fill="FFFFFF"/>
            <w:vAlign w:val="center"/>
            <w:hideMark/>
          </w:tcPr>
          <w:p w:rsidR="001A38CB" w:rsidRPr="001A38CB" w:rsidRDefault="001A38CB" w:rsidP="001A38CB">
            <w:pPr>
              <w:jc w:val="both"/>
              <w:rPr>
                <w:lang w:eastAsia="ru-RU"/>
              </w:rPr>
            </w:pPr>
            <w:r w:rsidRPr="001A38CB">
              <w:rPr>
                <w:lang w:eastAsia="ru-RU"/>
              </w:rPr>
              <w:t>11</w:t>
            </w:r>
          </w:p>
        </w:tc>
        <w:tc>
          <w:tcPr>
            <w:tcW w:w="6135" w:type="dxa"/>
            <w:shd w:val="clear" w:color="auto" w:fill="FFFFFF"/>
            <w:vAlign w:val="center"/>
            <w:hideMark/>
          </w:tcPr>
          <w:p w:rsidR="001A38CB" w:rsidRPr="001A38CB" w:rsidRDefault="001A38CB" w:rsidP="001A38CB">
            <w:pPr>
              <w:jc w:val="both"/>
              <w:rPr>
                <w:lang w:eastAsia="ru-RU"/>
              </w:rPr>
            </w:pPr>
            <w:r w:rsidRPr="001A38CB">
              <w:rPr>
                <w:lang w:eastAsia="ru-RU"/>
              </w:rPr>
              <w:t>Трубопроводы топливной системы (герметичность)</w:t>
            </w:r>
          </w:p>
        </w:tc>
        <w:tc>
          <w:tcPr>
            <w:tcW w:w="0" w:type="auto"/>
            <w:gridSpan w:val="11"/>
            <w:shd w:val="clear" w:color="auto" w:fill="FFFFFF"/>
            <w:vAlign w:val="center"/>
            <w:hideMark/>
          </w:tcPr>
          <w:p w:rsidR="001A38CB" w:rsidRPr="001A38CB" w:rsidRDefault="001A38CB" w:rsidP="001A38CB">
            <w:pPr>
              <w:jc w:val="both"/>
              <w:rPr>
                <w:lang w:eastAsia="ru-RU"/>
              </w:rPr>
            </w:pPr>
            <w:r w:rsidRPr="001A38CB">
              <w:rPr>
                <w:lang w:eastAsia="ru-RU"/>
              </w:rPr>
              <w:t>I - каждые 7 500 км или 6 месяцев</w:t>
            </w:r>
          </w:p>
        </w:tc>
      </w:tr>
    </w:tbl>
    <w:p w:rsidR="0041274F" w:rsidRPr="001A38CB" w:rsidRDefault="001A38CB" w:rsidP="001A38CB">
      <w:pPr>
        <w:jc w:val="both"/>
      </w:pPr>
    </w:p>
    <w:sectPr w:rsidR="0041274F" w:rsidRPr="001A38CB" w:rsidSect="001A38CB">
      <w:pgSz w:w="16838" w:h="11906" w:orient="landscape"/>
      <w:pgMar w:top="567" w:right="1103"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07FC"/>
    <w:multiLevelType w:val="multilevel"/>
    <w:tmpl w:val="180AA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E51363"/>
    <w:multiLevelType w:val="multilevel"/>
    <w:tmpl w:val="E9EE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4A5B2A"/>
    <w:multiLevelType w:val="multilevel"/>
    <w:tmpl w:val="5EC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7D"/>
    <w:rsid w:val="001A38CB"/>
    <w:rsid w:val="005E167D"/>
    <w:rsid w:val="006623F1"/>
    <w:rsid w:val="00DD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38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8C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A38CB"/>
  </w:style>
  <w:style w:type="character" w:styleId="a3">
    <w:name w:val="Hyperlink"/>
    <w:basedOn w:val="a0"/>
    <w:uiPriority w:val="99"/>
    <w:semiHidden/>
    <w:unhideWhenUsed/>
    <w:rsid w:val="001A38CB"/>
    <w:rPr>
      <w:color w:val="0000FF"/>
      <w:u w:val="single"/>
    </w:rPr>
  </w:style>
  <w:style w:type="paragraph" w:styleId="a4">
    <w:name w:val="Normal (Web)"/>
    <w:basedOn w:val="a"/>
    <w:uiPriority w:val="99"/>
    <w:unhideWhenUsed/>
    <w:rsid w:val="001A3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38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8C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A38CB"/>
  </w:style>
  <w:style w:type="character" w:styleId="a3">
    <w:name w:val="Hyperlink"/>
    <w:basedOn w:val="a0"/>
    <w:uiPriority w:val="99"/>
    <w:semiHidden/>
    <w:unhideWhenUsed/>
    <w:rsid w:val="001A38CB"/>
    <w:rPr>
      <w:color w:val="0000FF"/>
      <w:u w:val="single"/>
    </w:rPr>
  </w:style>
  <w:style w:type="paragraph" w:styleId="a4">
    <w:name w:val="Normal (Web)"/>
    <w:basedOn w:val="a"/>
    <w:uiPriority w:val="99"/>
    <w:unhideWhenUsed/>
    <w:rsid w:val="001A3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aris-club.net/forum/forumdisplay.php?f=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8663</Characters>
  <Application>Microsoft Office Word</Application>
  <DocSecurity>0</DocSecurity>
  <Lines>72</Lines>
  <Paragraphs>20</Paragraphs>
  <ScaleCrop>false</ScaleCrop>
  <Company>SPecialiST RePack</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2017-06-16T14:16:00Z</dcterms:created>
  <dcterms:modified xsi:type="dcterms:W3CDTF">2017-06-16T14:17:00Z</dcterms:modified>
</cp:coreProperties>
</file>